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94D" w:rsidRPr="0010794D" w:rsidRDefault="0010794D" w:rsidP="0010794D">
      <w:pPr>
        <w:shd w:val="clear" w:color="auto" w:fill="FFFFFF"/>
        <w:spacing w:line="330" w:lineRule="atLeast"/>
        <w:jc w:val="both"/>
        <w:rPr>
          <w:rFonts w:ascii="Calibri" w:eastAsia="Times New Roman" w:hAnsi="Calibri" w:cs="Calibri"/>
          <w:color w:val="26282A"/>
          <w:sz w:val="24"/>
          <w:szCs w:val="24"/>
          <w:lang w:eastAsia="es-AR"/>
        </w:rPr>
      </w:pPr>
      <w:r w:rsidRPr="0010794D">
        <w:rPr>
          <w:rFonts w:ascii="Arial" w:eastAsia="Times New Roman" w:hAnsi="Arial" w:cs="Arial"/>
          <w:b/>
          <w:bCs/>
          <w:color w:val="26282A"/>
          <w:lang w:eastAsia="es-AR"/>
        </w:rPr>
        <w:t>Estimados Miembros,</w:t>
      </w:r>
    </w:p>
    <w:p w:rsidR="0010794D" w:rsidRPr="0010794D" w:rsidRDefault="0010794D" w:rsidP="0010794D">
      <w:pPr>
        <w:shd w:val="clear" w:color="auto" w:fill="FFFFFF"/>
        <w:spacing w:line="330" w:lineRule="atLeast"/>
        <w:jc w:val="both"/>
        <w:rPr>
          <w:rFonts w:ascii="Calibri" w:eastAsia="Times New Roman" w:hAnsi="Calibri" w:cs="Calibri"/>
          <w:color w:val="26282A"/>
          <w:sz w:val="24"/>
          <w:szCs w:val="24"/>
          <w:lang w:eastAsia="es-AR"/>
        </w:rPr>
      </w:pPr>
      <w:r w:rsidRPr="0010794D">
        <w:rPr>
          <w:rFonts w:ascii="Arial" w:eastAsia="Times New Roman" w:hAnsi="Arial" w:cs="Arial"/>
          <w:color w:val="26282A"/>
          <w:lang w:val="es-ES" w:eastAsia="es-AR"/>
        </w:rPr>
        <w:t>Los invitamos a sumarse la Comisión de Procedimientos Tributarios, en la que –si bien se partirá de la base de comentar y analizar decisiones jurisdiccionales- también compartiremos y debatiremos: (i) novedades legislativas, (ii) dictámenes de diversos organismos, (iii) proyectos legislativos, y; (iv) cualquier otro asunto que resulte de interés de los asistentes.</w:t>
      </w:r>
    </w:p>
    <w:p w:rsidR="0010794D" w:rsidRPr="0010794D" w:rsidRDefault="0010794D" w:rsidP="0010794D">
      <w:pPr>
        <w:shd w:val="clear" w:color="auto" w:fill="FFFFFF"/>
        <w:spacing w:line="330" w:lineRule="atLeast"/>
        <w:jc w:val="both"/>
        <w:rPr>
          <w:rFonts w:ascii="Calibri" w:eastAsia="Times New Roman" w:hAnsi="Calibri" w:cs="Calibri"/>
          <w:color w:val="26282A"/>
          <w:sz w:val="24"/>
          <w:szCs w:val="24"/>
          <w:lang w:eastAsia="es-AR"/>
        </w:rPr>
      </w:pPr>
      <w:r w:rsidRPr="0010794D">
        <w:rPr>
          <w:rFonts w:ascii="Arial" w:eastAsia="Times New Roman" w:hAnsi="Arial" w:cs="Arial"/>
          <w:color w:val="26282A"/>
          <w:lang w:val="es-ES" w:eastAsia="es-AR"/>
        </w:rPr>
        <w:t>Asimismo, y como siempre, los invitamos especialmente a quienes puedan sumarse a la sede de la Asociación, sin perjuicio que las reuniones continúan con el formato híbrido.</w:t>
      </w:r>
    </w:p>
    <w:p w:rsidR="0010794D" w:rsidRPr="0010794D" w:rsidRDefault="0010794D" w:rsidP="0010794D">
      <w:pPr>
        <w:shd w:val="clear" w:color="auto" w:fill="FFFFFF"/>
        <w:spacing w:line="330" w:lineRule="atLeast"/>
        <w:jc w:val="both"/>
        <w:rPr>
          <w:rFonts w:ascii="Calibri" w:eastAsia="Times New Roman" w:hAnsi="Calibri" w:cs="Calibri"/>
          <w:color w:val="26282A"/>
          <w:sz w:val="24"/>
          <w:szCs w:val="24"/>
          <w:lang w:eastAsia="es-AR"/>
        </w:rPr>
      </w:pPr>
      <w:r w:rsidRPr="0010794D">
        <w:rPr>
          <w:rFonts w:ascii="Arial" w:eastAsia="Times New Roman" w:hAnsi="Arial" w:cs="Arial"/>
          <w:color w:val="26282A"/>
          <w:lang w:val="es-ES" w:eastAsia="es-AR"/>
        </w:rPr>
        <w:t>El temario sugerido para esta reunión es el siguiente:</w:t>
      </w:r>
    </w:p>
    <w:p w:rsidR="0010794D" w:rsidRPr="0010794D" w:rsidRDefault="0010794D" w:rsidP="0010794D">
      <w:pPr>
        <w:shd w:val="clear" w:color="auto" w:fill="FFFFFF"/>
        <w:spacing w:after="0" w:line="360" w:lineRule="auto"/>
        <w:jc w:val="both"/>
        <w:rPr>
          <w:rFonts w:ascii="Calibri" w:eastAsia="Times New Roman" w:hAnsi="Calibri" w:cs="Calibri"/>
          <w:color w:val="26282A"/>
          <w:sz w:val="24"/>
          <w:szCs w:val="24"/>
          <w:lang w:eastAsia="es-AR"/>
        </w:rPr>
      </w:pPr>
      <w:r w:rsidRPr="0010794D">
        <w:rPr>
          <w:rFonts w:ascii="Arial" w:eastAsia="Times New Roman" w:hAnsi="Arial" w:cs="Arial"/>
          <w:b/>
          <w:bCs/>
          <w:color w:val="26282A"/>
          <w:lang w:eastAsia="es-AR"/>
        </w:rPr>
        <w:t>1.-</w:t>
      </w:r>
      <w:r w:rsidRPr="0010794D">
        <w:rPr>
          <w:rFonts w:ascii="New serif" w:eastAsia="Times New Roman" w:hAnsi="New serif" w:cs="Calibri"/>
          <w:color w:val="26282A"/>
          <w:sz w:val="14"/>
          <w:szCs w:val="14"/>
          <w:lang w:eastAsia="es-AR"/>
        </w:rPr>
        <w:t>        </w:t>
      </w:r>
      <w:r w:rsidRPr="0010794D">
        <w:rPr>
          <w:rFonts w:ascii="Arial" w:eastAsia="Times New Roman" w:hAnsi="Arial" w:cs="Arial"/>
          <w:b/>
          <w:bCs/>
          <w:color w:val="26282A"/>
          <w:lang w:eastAsia="es-AR"/>
        </w:rPr>
        <w:t>“Arena Laura Cristina”. TFN, Sala B. 14 de julio de 2023.</w:t>
      </w:r>
    </w:p>
    <w:p w:rsidR="0010794D" w:rsidRPr="0010794D" w:rsidRDefault="0010794D" w:rsidP="0010794D">
      <w:pPr>
        <w:shd w:val="clear" w:color="auto" w:fill="FFFFFF"/>
        <w:spacing w:after="0" w:line="360" w:lineRule="auto"/>
        <w:ind w:left="-1560" w:firstLine="709"/>
        <w:rPr>
          <w:rFonts w:ascii="Bookman Old Style" w:eastAsia="Times New Roman" w:hAnsi="Bookman Old Style" w:cs="Times New Roman"/>
          <w:color w:val="26282A"/>
          <w:sz w:val="24"/>
          <w:szCs w:val="24"/>
          <w:lang w:eastAsia="es-AR"/>
        </w:rPr>
      </w:pPr>
      <w:r w:rsidRPr="0010794D">
        <w:rPr>
          <w:rFonts w:ascii="Bookman Old Style" w:eastAsia="Times New Roman" w:hAnsi="Bookman Old Style" w:cs="Times New Roman"/>
          <w:color w:val="26282A"/>
          <w:sz w:val="24"/>
          <w:szCs w:val="24"/>
          <w:lang w:eastAsia="es-AR"/>
        </w:rPr>
        <w:t>           </w:t>
      </w:r>
      <w:r w:rsidRPr="0010794D">
        <w:rPr>
          <w:rFonts w:ascii="Arial" w:eastAsia="Times New Roman" w:hAnsi="Arial" w:cs="Arial"/>
          <w:color w:val="26282A"/>
          <w:lang w:eastAsia="es-AR"/>
        </w:rPr>
        <w:t>El Tribunal Fiscal de la Nación y los planteos constitucionales.</w:t>
      </w:r>
    </w:p>
    <w:p w:rsidR="0010794D" w:rsidRPr="0010794D" w:rsidRDefault="0010794D" w:rsidP="0010794D">
      <w:pPr>
        <w:shd w:val="clear" w:color="auto" w:fill="FFFFFF"/>
        <w:spacing w:after="0" w:line="360" w:lineRule="auto"/>
        <w:rPr>
          <w:rFonts w:ascii="Bookman Old Style" w:eastAsia="Times New Roman" w:hAnsi="Bookman Old Style" w:cs="Times New Roman"/>
          <w:color w:val="26282A"/>
          <w:sz w:val="24"/>
          <w:szCs w:val="24"/>
          <w:lang w:eastAsia="es-AR"/>
        </w:rPr>
      </w:pPr>
      <w:r w:rsidRPr="0010794D">
        <w:rPr>
          <w:rFonts w:ascii="Arial" w:eastAsia="Times New Roman" w:hAnsi="Arial" w:cs="Arial"/>
          <w:i/>
          <w:iCs/>
          <w:color w:val="26282A"/>
          <w:lang w:eastAsia="es-AR"/>
        </w:rPr>
        <w:t xml:space="preserve">Comentarios a cargo del Dr. Claudio García </w:t>
      </w:r>
      <w:proofErr w:type="spellStart"/>
      <w:r w:rsidRPr="0010794D">
        <w:rPr>
          <w:rFonts w:ascii="Arial" w:eastAsia="Times New Roman" w:hAnsi="Arial" w:cs="Arial"/>
          <w:i/>
          <w:iCs/>
          <w:color w:val="26282A"/>
          <w:lang w:eastAsia="es-AR"/>
        </w:rPr>
        <w:t>Sinagra</w:t>
      </w:r>
      <w:proofErr w:type="spellEnd"/>
      <w:r w:rsidRPr="0010794D">
        <w:rPr>
          <w:rFonts w:ascii="Arial" w:eastAsia="Times New Roman" w:hAnsi="Arial" w:cs="Arial"/>
          <w:i/>
          <w:iCs/>
          <w:color w:val="26282A"/>
          <w:lang w:eastAsia="es-AR"/>
        </w:rPr>
        <w:t>.</w:t>
      </w:r>
    </w:p>
    <w:p w:rsidR="0010794D" w:rsidRPr="0010794D" w:rsidRDefault="0010794D" w:rsidP="0010794D">
      <w:pPr>
        <w:shd w:val="clear" w:color="auto" w:fill="FFFFFF"/>
        <w:spacing w:after="0" w:line="360" w:lineRule="auto"/>
        <w:rPr>
          <w:rFonts w:ascii="Bookman Old Style" w:eastAsia="Times New Roman" w:hAnsi="Bookman Old Style" w:cs="Times New Roman"/>
          <w:color w:val="26282A"/>
          <w:sz w:val="24"/>
          <w:szCs w:val="24"/>
          <w:lang w:eastAsia="es-AR"/>
        </w:rPr>
      </w:pPr>
    </w:p>
    <w:p w:rsidR="0010794D" w:rsidRPr="0010794D" w:rsidRDefault="0010794D" w:rsidP="0010794D">
      <w:pPr>
        <w:shd w:val="clear" w:color="auto" w:fill="FFFFFF"/>
        <w:spacing w:after="0" w:line="360" w:lineRule="auto"/>
        <w:jc w:val="both"/>
        <w:rPr>
          <w:rFonts w:ascii="Calibri" w:eastAsia="Times New Roman" w:hAnsi="Calibri" w:cs="Calibri"/>
          <w:color w:val="26282A"/>
          <w:sz w:val="24"/>
          <w:szCs w:val="24"/>
          <w:lang w:eastAsia="es-AR"/>
        </w:rPr>
      </w:pPr>
      <w:r w:rsidRPr="0010794D">
        <w:rPr>
          <w:rFonts w:ascii="Arial" w:eastAsia="Times New Roman" w:hAnsi="Arial" w:cs="Arial"/>
          <w:b/>
          <w:bCs/>
          <w:color w:val="26282A"/>
          <w:lang w:eastAsia="es-AR"/>
        </w:rPr>
        <w:t>2.-</w:t>
      </w:r>
      <w:r w:rsidRPr="0010794D">
        <w:rPr>
          <w:rFonts w:ascii="New serif" w:eastAsia="Times New Roman" w:hAnsi="New serif" w:cs="Calibri"/>
          <w:color w:val="26282A"/>
          <w:sz w:val="14"/>
          <w:szCs w:val="14"/>
          <w:lang w:eastAsia="es-AR"/>
        </w:rPr>
        <w:t>         </w:t>
      </w:r>
      <w:r w:rsidRPr="0010794D">
        <w:rPr>
          <w:rFonts w:ascii="Arial" w:eastAsia="Times New Roman" w:hAnsi="Arial" w:cs="Arial"/>
          <w:b/>
          <w:bCs/>
          <w:color w:val="26282A"/>
          <w:lang w:eastAsia="es-AR"/>
        </w:rPr>
        <w:t xml:space="preserve">“BGH Sociedad Anónima c/ GCBA s/ Acción Meramente Declarativa”. </w:t>
      </w:r>
      <w:proofErr w:type="spellStart"/>
      <w:r w:rsidRPr="0010794D">
        <w:rPr>
          <w:rFonts w:ascii="Arial" w:eastAsia="Times New Roman" w:hAnsi="Arial" w:cs="Arial"/>
          <w:b/>
          <w:bCs/>
          <w:color w:val="26282A"/>
          <w:lang w:eastAsia="es-AR"/>
        </w:rPr>
        <w:t>JCAyT</w:t>
      </w:r>
      <w:proofErr w:type="spellEnd"/>
      <w:r w:rsidRPr="0010794D">
        <w:rPr>
          <w:rFonts w:ascii="Arial" w:eastAsia="Times New Roman" w:hAnsi="Arial" w:cs="Arial"/>
          <w:b/>
          <w:bCs/>
          <w:color w:val="26282A"/>
          <w:lang w:eastAsia="es-AR"/>
        </w:rPr>
        <w:t xml:space="preserve"> N°12, </w:t>
      </w:r>
      <w:proofErr w:type="gramStart"/>
      <w:r w:rsidRPr="0010794D">
        <w:rPr>
          <w:rFonts w:ascii="Arial" w:eastAsia="Times New Roman" w:hAnsi="Arial" w:cs="Arial"/>
          <w:b/>
          <w:bCs/>
          <w:color w:val="26282A"/>
          <w:lang w:eastAsia="es-AR"/>
        </w:rPr>
        <w:t>CABA ,</w:t>
      </w:r>
      <w:proofErr w:type="gramEnd"/>
      <w:r w:rsidRPr="0010794D">
        <w:rPr>
          <w:rFonts w:ascii="Arial" w:eastAsia="Times New Roman" w:hAnsi="Arial" w:cs="Arial"/>
          <w:b/>
          <w:bCs/>
          <w:color w:val="26282A"/>
          <w:lang w:eastAsia="es-AR"/>
        </w:rPr>
        <w:t xml:space="preserve"> 1 de septiembre de 2023.</w:t>
      </w:r>
    </w:p>
    <w:p w:rsidR="0010794D" w:rsidRPr="0010794D" w:rsidRDefault="0010794D" w:rsidP="0010794D">
      <w:pPr>
        <w:shd w:val="clear" w:color="auto" w:fill="FFFFFF"/>
        <w:spacing w:after="0" w:line="360" w:lineRule="auto"/>
        <w:ind w:left="-709" w:firstLine="720"/>
        <w:jc w:val="both"/>
        <w:rPr>
          <w:rFonts w:ascii="Calibri" w:eastAsia="Times New Roman" w:hAnsi="Calibri" w:cs="Calibri"/>
          <w:color w:val="26282A"/>
          <w:sz w:val="24"/>
          <w:szCs w:val="24"/>
          <w:lang w:eastAsia="es-AR"/>
        </w:rPr>
      </w:pPr>
      <w:r w:rsidRPr="0010794D">
        <w:rPr>
          <w:rFonts w:ascii="Arial" w:eastAsia="Times New Roman" w:hAnsi="Arial" w:cs="Arial"/>
          <w:color w:val="26282A"/>
          <w:lang w:eastAsia="es-AR"/>
        </w:rPr>
        <w:t>Impuesto de sellos. Intimaciones de pago.</w:t>
      </w:r>
    </w:p>
    <w:p w:rsidR="0010794D" w:rsidRPr="0010794D" w:rsidRDefault="0010794D" w:rsidP="0010794D">
      <w:pPr>
        <w:shd w:val="clear" w:color="auto" w:fill="FFFFFF"/>
        <w:spacing w:after="0" w:line="360" w:lineRule="auto"/>
        <w:ind w:left="-709"/>
        <w:rPr>
          <w:rFonts w:ascii="Bookman Old Style" w:eastAsia="Times New Roman" w:hAnsi="Bookman Old Style" w:cs="Times New Roman"/>
          <w:color w:val="26282A"/>
          <w:sz w:val="24"/>
          <w:szCs w:val="24"/>
          <w:lang w:eastAsia="es-AR"/>
        </w:rPr>
      </w:pPr>
      <w:r>
        <w:rPr>
          <w:rFonts w:ascii="Bookman Old Style" w:eastAsia="Times New Roman" w:hAnsi="Bookman Old Style" w:cs="Times New Roman"/>
          <w:color w:val="26282A"/>
          <w:sz w:val="24"/>
          <w:szCs w:val="24"/>
          <w:lang w:eastAsia="es-AR"/>
        </w:rPr>
        <w:t>         </w:t>
      </w:r>
      <w:r w:rsidRPr="0010794D">
        <w:rPr>
          <w:rFonts w:ascii="Arial" w:eastAsia="Times New Roman" w:hAnsi="Arial" w:cs="Arial"/>
          <w:i/>
          <w:iCs/>
          <w:color w:val="26282A"/>
          <w:lang w:eastAsia="es-AR"/>
        </w:rPr>
        <w:t>Comentarios a cargo del Dr. Juan José Godoy.</w:t>
      </w:r>
    </w:p>
    <w:p w:rsidR="0010794D" w:rsidRPr="0010794D" w:rsidRDefault="0010794D" w:rsidP="0010794D">
      <w:pPr>
        <w:shd w:val="clear" w:color="auto" w:fill="FFFFFF"/>
        <w:spacing w:after="0" w:line="240" w:lineRule="auto"/>
        <w:jc w:val="both"/>
        <w:rPr>
          <w:rFonts w:ascii="Bookman Old Style" w:eastAsia="Times New Roman" w:hAnsi="Bookman Old Style" w:cs="Times New Roman"/>
          <w:color w:val="26282A"/>
          <w:sz w:val="24"/>
          <w:szCs w:val="24"/>
          <w:lang w:eastAsia="es-AR"/>
        </w:rPr>
      </w:pPr>
    </w:p>
    <w:p w:rsidR="0010794D" w:rsidRPr="0010794D" w:rsidRDefault="0010794D" w:rsidP="0010794D">
      <w:pPr>
        <w:shd w:val="clear" w:color="auto" w:fill="FFFFFF"/>
        <w:spacing w:after="0" w:line="360" w:lineRule="auto"/>
        <w:ind w:hanging="993"/>
        <w:jc w:val="both"/>
        <w:rPr>
          <w:rFonts w:ascii="Arial" w:eastAsia="Times New Roman" w:hAnsi="Arial" w:cs="Arial"/>
          <w:color w:val="26282A"/>
          <w:sz w:val="24"/>
          <w:szCs w:val="24"/>
          <w:lang w:eastAsia="es-AR"/>
        </w:rPr>
      </w:pPr>
      <w:r>
        <w:rPr>
          <w:rFonts w:ascii="Arial" w:eastAsia="Times New Roman" w:hAnsi="Arial" w:cs="Arial"/>
          <w:color w:val="26282A"/>
          <w:sz w:val="24"/>
          <w:szCs w:val="24"/>
          <w:lang w:eastAsia="es-AR"/>
        </w:rPr>
        <w:t xml:space="preserve">          </w:t>
      </w:r>
      <w:r w:rsidRPr="0010794D">
        <w:rPr>
          <w:rFonts w:ascii="Arial" w:eastAsia="Times New Roman" w:hAnsi="Arial" w:cs="Arial"/>
          <w:b/>
          <w:bCs/>
          <w:color w:val="26282A"/>
          <w:lang w:eastAsia="es-AR"/>
        </w:rPr>
        <w:t>3.-   “Granja Tres Arroyos SACAFEI c/ Municipalidad de Río Cuarto s/ acción meramente declarativa de </w:t>
      </w:r>
      <w:r w:rsidRPr="0010794D">
        <w:rPr>
          <w:rFonts w:ascii="Arial" w:eastAsia="Times New Roman" w:hAnsi="Arial" w:cs="Arial"/>
          <w:color w:val="26282A"/>
          <w:sz w:val="24"/>
          <w:szCs w:val="24"/>
          <w:lang w:eastAsia="es-AR"/>
        </w:rPr>
        <w:t>       </w:t>
      </w:r>
      <w:r w:rsidRPr="0010794D">
        <w:rPr>
          <w:rFonts w:ascii="Arial" w:eastAsia="Times New Roman" w:hAnsi="Arial" w:cs="Arial"/>
          <w:b/>
          <w:bCs/>
          <w:color w:val="26282A"/>
          <w:lang w:eastAsia="es-AR"/>
        </w:rPr>
        <w:t>derecho”. CSJN, 3 de agosto de 2023.</w:t>
      </w:r>
    </w:p>
    <w:p w:rsidR="0010794D" w:rsidRDefault="0010794D" w:rsidP="0010794D">
      <w:pPr>
        <w:shd w:val="clear" w:color="auto" w:fill="FFFFFF"/>
        <w:spacing w:after="0" w:line="360" w:lineRule="auto"/>
        <w:jc w:val="both"/>
        <w:rPr>
          <w:rFonts w:ascii="Arial" w:eastAsia="Times New Roman" w:hAnsi="Arial" w:cs="Arial"/>
          <w:color w:val="26282A"/>
          <w:sz w:val="28"/>
          <w:szCs w:val="24"/>
          <w:lang w:eastAsia="es-AR"/>
        </w:rPr>
      </w:pPr>
      <w:r w:rsidRPr="0010794D">
        <w:rPr>
          <w:rFonts w:ascii="Arial" w:eastAsia="Times New Roman" w:hAnsi="Arial" w:cs="Arial"/>
          <w:color w:val="000000"/>
          <w:szCs w:val="20"/>
          <w:lang w:eastAsia="es-AR"/>
        </w:rPr>
        <w:t xml:space="preserve">La carga de la prueba y la posible ampliación del poder de policía de los municipios para el control bromatológico. Interpretación de la cláusula comercial bajo la directriz del artículo 75 inciso 30. El voto de los Dres. Rosatti y </w:t>
      </w:r>
      <w:proofErr w:type="spellStart"/>
      <w:r w:rsidRPr="0010794D">
        <w:rPr>
          <w:rFonts w:ascii="Arial" w:eastAsia="Times New Roman" w:hAnsi="Arial" w:cs="Arial"/>
          <w:color w:val="000000"/>
          <w:szCs w:val="20"/>
          <w:lang w:eastAsia="es-AR"/>
        </w:rPr>
        <w:t>Maqueda</w:t>
      </w:r>
      <w:proofErr w:type="spellEnd"/>
      <w:r w:rsidRPr="0010794D">
        <w:rPr>
          <w:rFonts w:ascii="Arial" w:eastAsia="Times New Roman" w:hAnsi="Arial" w:cs="Arial"/>
          <w:color w:val="000000"/>
          <w:szCs w:val="20"/>
          <w:lang w:eastAsia="es-AR"/>
        </w:rPr>
        <w:t>, en comparación con los votos en disidencia de Rosatti en materia de telecomunicaciones y energía eléctrica.</w:t>
      </w:r>
      <w:r w:rsidRPr="0010794D">
        <w:rPr>
          <w:rFonts w:ascii="Arial" w:eastAsia="Times New Roman" w:hAnsi="Arial" w:cs="Arial"/>
          <w:b/>
          <w:bCs/>
          <w:color w:val="26282A"/>
          <w:szCs w:val="20"/>
          <w:lang w:eastAsia="es-AR"/>
        </w:rPr>
        <w:t> </w:t>
      </w:r>
      <w:r w:rsidRPr="0010794D">
        <w:rPr>
          <w:rFonts w:ascii="Arial" w:eastAsia="Times New Roman" w:hAnsi="Arial" w:cs="Arial"/>
          <w:color w:val="26282A"/>
          <w:szCs w:val="20"/>
          <w:lang w:eastAsia="es-AR"/>
        </w:rPr>
        <w:t>       </w:t>
      </w:r>
    </w:p>
    <w:p w:rsidR="0010794D" w:rsidRPr="0010794D" w:rsidRDefault="0010794D" w:rsidP="0010794D">
      <w:pPr>
        <w:shd w:val="clear" w:color="auto" w:fill="FFFFFF"/>
        <w:spacing w:after="0" w:line="360" w:lineRule="auto"/>
        <w:jc w:val="both"/>
        <w:rPr>
          <w:rFonts w:ascii="Arial" w:eastAsia="Times New Roman" w:hAnsi="Arial" w:cs="Arial"/>
          <w:color w:val="26282A"/>
          <w:sz w:val="28"/>
          <w:szCs w:val="24"/>
          <w:lang w:eastAsia="es-AR"/>
        </w:rPr>
      </w:pPr>
      <w:r w:rsidRPr="0010794D">
        <w:rPr>
          <w:rFonts w:ascii="Arial" w:eastAsia="Times New Roman" w:hAnsi="Arial" w:cs="Arial"/>
          <w:i/>
          <w:iCs/>
          <w:color w:val="26282A"/>
          <w:lang w:eastAsia="es-AR"/>
        </w:rPr>
        <w:t xml:space="preserve">Comentarios a cargo de la Dra. Laura </w:t>
      </w:r>
      <w:proofErr w:type="spellStart"/>
      <w:r w:rsidRPr="0010794D">
        <w:rPr>
          <w:rFonts w:ascii="Arial" w:eastAsia="Times New Roman" w:hAnsi="Arial" w:cs="Arial"/>
          <w:i/>
          <w:iCs/>
          <w:color w:val="26282A"/>
          <w:lang w:eastAsia="es-AR"/>
        </w:rPr>
        <w:t>Karschenboim</w:t>
      </w:r>
      <w:proofErr w:type="spellEnd"/>
      <w:r w:rsidRPr="0010794D">
        <w:rPr>
          <w:rFonts w:ascii="Arial" w:eastAsia="Times New Roman" w:hAnsi="Arial" w:cs="Arial"/>
          <w:i/>
          <w:iCs/>
          <w:color w:val="26282A"/>
          <w:lang w:eastAsia="es-AR"/>
        </w:rPr>
        <w:t>.</w:t>
      </w:r>
    </w:p>
    <w:p w:rsidR="0010794D" w:rsidRDefault="0010794D" w:rsidP="0010794D">
      <w:pPr>
        <w:shd w:val="clear" w:color="auto" w:fill="FFFFFF"/>
        <w:spacing w:after="0" w:line="360" w:lineRule="auto"/>
        <w:jc w:val="both"/>
        <w:rPr>
          <w:rFonts w:ascii="Arial" w:eastAsia="Times New Roman" w:hAnsi="Arial" w:cs="Arial"/>
          <w:b/>
          <w:bCs/>
          <w:color w:val="26282A"/>
          <w:lang w:eastAsia="es-AR"/>
        </w:rPr>
      </w:pPr>
    </w:p>
    <w:p w:rsidR="0010794D" w:rsidRDefault="0010794D" w:rsidP="0010794D">
      <w:pPr>
        <w:shd w:val="clear" w:color="auto" w:fill="FFFFFF"/>
        <w:spacing w:after="0" w:line="360" w:lineRule="auto"/>
        <w:jc w:val="both"/>
        <w:rPr>
          <w:rFonts w:ascii="Arial" w:eastAsia="Times New Roman" w:hAnsi="Arial" w:cs="Arial"/>
          <w:b/>
          <w:bCs/>
          <w:color w:val="26282A"/>
          <w:lang w:eastAsia="es-AR"/>
        </w:rPr>
      </w:pPr>
      <w:r w:rsidRPr="0010794D">
        <w:rPr>
          <w:rFonts w:ascii="Arial" w:eastAsia="Times New Roman" w:hAnsi="Arial" w:cs="Arial"/>
          <w:b/>
          <w:bCs/>
          <w:color w:val="26282A"/>
          <w:lang w:eastAsia="es-AR"/>
        </w:rPr>
        <w:t>5.-</w:t>
      </w:r>
      <w:proofErr w:type="gramStart"/>
      <w:r w:rsidRPr="0010794D">
        <w:rPr>
          <w:rFonts w:ascii="Arial" w:eastAsia="Times New Roman" w:hAnsi="Arial" w:cs="Arial"/>
          <w:i/>
          <w:iCs/>
          <w:color w:val="26282A"/>
          <w:lang w:eastAsia="es-AR"/>
        </w:rPr>
        <w:t> </w:t>
      </w:r>
      <w:r w:rsidRPr="0010794D">
        <w:rPr>
          <w:rFonts w:ascii="New serif" w:eastAsia="Times New Roman" w:hAnsi="New serif" w:cs="Times New Roman"/>
          <w:color w:val="26282A"/>
          <w:sz w:val="14"/>
          <w:szCs w:val="14"/>
          <w:lang w:eastAsia="es-AR"/>
        </w:rPr>
        <w:t> </w:t>
      </w:r>
      <w:r w:rsidRPr="0010794D">
        <w:rPr>
          <w:rFonts w:ascii="Arial" w:eastAsia="Times New Roman" w:hAnsi="Arial" w:cs="Arial"/>
          <w:b/>
          <w:bCs/>
          <w:color w:val="26282A"/>
          <w:lang w:eastAsia="es-AR"/>
        </w:rPr>
        <w:t>"</w:t>
      </w:r>
      <w:proofErr w:type="gramEnd"/>
      <w:r w:rsidRPr="0010794D">
        <w:rPr>
          <w:rFonts w:ascii="Arial" w:eastAsia="Times New Roman" w:hAnsi="Arial" w:cs="Arial"/>
          <w:b/>
          <w:bCs/>
          <w:color w:val="26282A"/>
          <w:lang w:eastAsia="es-AR"/>
        </w:rPr>
        <w:t xml:space="preserve">La Segunda Aseguradora de Riesgos del </w:t>
      </w:r>
      <w:r>
        <w:rPr>
          <w:rFonts w:ascii="Arial" w:eastAsia="Times New Roman" w:hAnsi="Arial" w:cs="Arial"/>
          <w:b/>
          <w:bCs/>
          <w:color w:val="26282A"/>
          <w:lang w:eastAsia="es-AR"/>
        </w:rPr>
        <w:t>Trabajo SA c/ Dirección General</w:t>
      </w:r>
    </w:p>
    <w:p w:rsidR="0010794D" w:rsidRPr="0010794D" w:rsidRDefault="0010794D" w:rsidP="0010794D">
      <w:pPr>
        <w:shd w:val="clear" w:color="auto" w:fill="FFFFFF"/>
        <w:spacing w:after="0" w:line="360" w:lineRule="auto"/>
        <w:jc w:val="both"/>
        <w:rPr>
          <w:rFonts w:ascii="Arial" w:eastAsia="Times New Roman" w:hAnsi="Arial" w:cs="Arial"/>
          <w:b/>
          <w:bCs/>
          <w:color w:val="26282A"/>
          <w:lang w:eastAsia="es-AR"/>
        </w:rPr>
      </w:pPr>
      <w:r w:rsidRPr="0010794D">
        <w:rPr>
          <w:rFonts w:ascii="Arial" w:eastAsia="Times New Roman" w:hAnsi="Arial" w:cs="Arial"/>
          <w:b/>
          <w:bCs/>
          <w:color w:val="26282A"/>
          <w:lang w:eastAsia="es-AR"/>
        </w:rPr>
        <w:t>Impositiva s/ recurso directo </w:t>
      </w:r>
      <w:r w:rsidRPr="0010794D">
        <w:rPr>
          <w:rFonts w:ascii="Bookman Old Style" w:eastAsia="Times New Roman" w:hAnsi="Bookman Old Style" w:cs="Times New Roman"/>
          <w:color w:val="26282A"/>
          <w:sz w:val="24"/>
          <w:szCs w:val="24"/>
          <w:lang w:eastAsia="es-AR"/>
        </w:rPr>
        <w:t>    </w:t>
      </w:r>
      <w:r w:rsidRPr="0010794D">
        <w:rPr>
          <w:rFonts w:ascii="Arial" w:eastAsia="Times New Roman" w:hAnsi="Arial" w:cs="Arial"/>
          <w:b/>
          <w:bCs/>
          <w:color w:val="26282A"/>
          <w:lang w:eastAsia="es-AR"/>
        </w:rPr>
        <w:t>de organismo externo", CSJN, 12 de septiembre de 2023.</w:t>
      </w:r>
    </w:p>
    <w:p w:rsidR="0010794D" w:rsidRPr="0010794D" w:rsidRDefault="0010794D" w:rsidP="0010794D">
      <w:pPr>
        <w:shd w:val="clear" w:color="auto" w:fill="FFFFFF"/>
        <w:spacing w:after="0" w:line="360" w:lineRule="auto"/>
        <w:jc w:val="both"/>
        <w:rPr>
          <w:rFonts w:ascii="Calibri" w:eastAsia="Times New Roman" w:hAnsi="Calibri" w:cs="Calibri"/>
          <w:color w:val="26282A"/>
          <w:sz w:val="24"/>
          <w:szCs w:val="24"/>
          <w:lang w:eastAsia="es-AR"/>
        </w:rPr>
      </w:pPr>
      <w:r w:rsidRPr="0010794D">
        <w:rPr>
          <w:rFonts w:ascii="Arial" w:eastAsia="Times New Roman" w:hAnsi="Arial" w:cs="Arial"/>
          <w:color w:val="26282A"/>
          <w:lang w:eastAsia="es-AR"/>
        </w:rPr>
        <w:t>Limitaciones a ajustes formulados por el fisco en materia de Salidas No Documentadas, provenientes de cuestiones de hecho y prueba. Aspectos procesales.</w:t>
      </w:r>
    </w:p>
    <w:p w:rsidR="0010794D" w:rsidRPr="0010794D" w:rsidRDefault="0010794D" w:rsidP="0010794D">
      <w:pPr>
        <w:shd w:val="clear" w:color="auto" w:fill="FFFFFF"/>
        <w:spacing w:after="0" w:line="360" w:lineRule="auto"/>
        <w:jc w:val="both"/>
        <w:rPr>
          <w:rFonts w:ascii="Bookman Old Style" w:eastAsia="Times New Roman" w:hAnsi="Bookman Old Style" w:cs="Times New Roman"/>
          <w:color w:val="26282A"/>
          <w:sz w:val="24"/>
          <w:szCs w:val="24"/>
          <w:lang w:eastAsia="es-AR"/>
        </w:rPr>
      </w:pPr>
      <w:r w:rsidRPr="0010794D">
        <w:rPr>
          <w:rFonts w:ascii="Arial" w:eastAsia="Times New Roman" w:hAnsi="Arial" w:cs="Arial"/>
          <w:i/>
          <w:iCs/>
          <w:color w:val="26282A"/>
          <w:lang w:eastAsia="es-AR"/>
        </w:rPr>
        <w:t xml:space="preserve">Comentarios a cargo de la Dra. Silvina </w:t>
      </w:r>
      <w:proofErr w:type="spellStart"/>
      <w:r w:rsidRPr="0010794D">
        <w:rPr>
          <w:rFonts w:ascii="Arial" w:eastAsia="Times New Roman" w:hAnsi="Arial" w:cs="Arial"/>
          <w:i/>
          <w:iCs/>
          <w:color w:val="26282A"/>
          <w:lang w:eastAsia="es-AR"/>
        </w:rPr>
        <w:t>Coronello</w:t>
      </w:r>
      <w:proofErr w:type="spellEnd"/>
      <w:r w:rsidRPr="0010794D">
        <w:rPr>
          <w:rFonts w:ascii="Arial" w:eastAsia="Times New Roman" w:hAnsi="Arial" w:cs="Arial"/>
          <w:i/>
          <w:iCs/>
          <w:color w:val="26282A"/>
          <w:lang w:eastAsia="es-AR"/>
        </w:rPr>
        <w:t>.</w:t>
      </w:r>
    </w:p>
    <w:p w:rsidR="0010794D" w:rsidRPr="0010794D" w:rsidRDefault="0010794D" w:rsidP="0010794D">
      <w:pPr>
        <w:shd w:val="clear" w:color="auto" w:fill="FFFFFF"/>
        <w:spacing w:after="0" w:line="240" w:lineRule="auto"/>
        <w:rPr>
          <w:rFonts w:ascii="Bookman Old Style" w:eastAsia="Times New Roman" w:hAnsi="Bookman Old Style" w:cs="Times New Roman"/>
          <w:color w:val="26282A"/>
          <w:sz w:val="24"/>
          <w:szCs w:val="24"/>
          <w:lang w:eastAsia="es-AR"/>
        </w:rPr>
      </w:pPr>
    </w:p>
    <w:p w:rsidR="0010794D" w:rsidRPr="0010794D" w:rsidRDefault="0010794D" w:rsidP="0010794D">
      <w:pPr>
        <w:shd w:val="clear" w:color="auto" w:fill="FFFFFF"/>
        <w:spacing w:after="0" w:line="360" w:lineRule="auto"/>
        <w:jc w:val="both"/>
        <w:rPr>
          <w:rFonts w:ascii="Bookman Old Style" w:eastAsia="Times New Roman" w:hAnsi="Bookman Old Style" w:cs="Times New Roman"/>
          <w:color w:val="26282A"/>
          <w:sz w:val="24"/>
          <w:szCs w:val="24"/>
          <w:lang w:eastAsia="es-AR"/>
        </w:rPr>
      </w:pPr>
      <w:r w:rsidRPr="0010794D">
        <w:rPr>
          <w:rFonts w:ascii="Arial" w:eastAsia="Times New Roman" w:hAnsi="Arial" w:cs="Arial"/>
          <w:b/>
          <w:bCs/>
          <w:color w:val="26282A"/>
          <w:lang w:eastAsia="es-AR"/>
        </w:rPr>
        <w:lastRenderedPageBreak/>
        <w:t>6-</w:t>
      </w:r>
      <w:r w:rsidRPr="0010794D">
        <w:rPr>
          <w:rFonts w:ascii="New serif" w:eastAsia="Times New Roman" w:hAnsi="New serif" w:cs="Times New Roman"/>
          <w:color w:val="26282A"/>
          <w:sz w:val="14"/>
          <w:szCs w:val="14"/>
          <w:lang w:eastAsia="es-AR"/>
        </w:rPr>
        <w:t>         </w:t>
      </w:r>
      <w:r w:rsidRPr="0010794D">
        <w:rPr>
          <w:rFonts w:ascii="Arial" w:eastAsia="Times New Roman" w:hAnsi="Arial" w:cs="Arial"/>
          <w:b/>
          <w:bCs/>
          <w:i/>
          <w:iCs/>
          <w:color w:val="26282A"/>
          <w:lang w:eastAsia="es-AR"/>
        </w:rPr>
        <w:t>Procedimientos seguidos por administraciones tributarias en el manejo de la información recibida bajo CRS.</w:t>
      </w:r>
      <w:r w:rsidRPr="0010794D">
        <w:rPr>
          <w:rFonts w:ascii="Calibri" w:eastAsia="Times New Roman" w:hAnsi="Calibri" w:cs="Calibri"/>
          <w:b/>
          <w:bCs/>
          <w:i/>
          <w:iCs/>
          <w:color w:val="26282A"/>
          <w:lang w:eastAsia="es-AR"/>
        </w:rPr>
        <w:t> </w:t>
      </w:r>
      <w:r w:rsidRPr="0010794D">
        <w:rPr>
          <w:rFonts w:ascii="Arial" w:eastAsia="Times New Roman" w:hAnsi="Arial" w:cs="Arial"/>
          <w:b/>
          <w:bCs/>
          <w:i/>
          <w:iCs/>
          <w:color w:val="26282A"/>
          <w:lang w:eastAsia="es-AR"/>
        </w:rPr>
        <w:t>Consideraciones sobre el informe de progreso de la Declaración de Punta del Este. </w:t>
      </w:r>
    </w:p>
    <w:p w:rsidR="0010794D" w:rsidRPr="0010794D" w:rsidRDefault="0010794D" w:rsidP="0010794D">
      <w:pPr>
        <w:shd w:val="clear" w:color="auto" w:fill="FFFFFF"/>
        <w:spacing w:after="0" w:line="240" w:lineRule="auto"/>
        <w:jc w:val="both"/>
        <w:rPr>
          <w:rFonts w:ascii="Bookman Old Style" w:eastAsia="Times New Roman" w:hAnsi="Bookman Old Style" w:cs="Times New Roman"/>
          <w:color w:val="26282A"/>
          <w:sz w:val="24"/>
          <w:szCs w:val="24"/>
          <w:lang w:eastAsia="es-AR"/>
        </w:rPr>
      </w:pPr>
      <w:r w:rsidRPr="0010794D">
        <w:rPr>
          <w:rFonts w:ascii="Arial" w:eastAsia="Times New Roman" w:hAnsi="Arial" w:cs="Arial"/>
          <w:color w:val="26282A"/>
          <w:lang w:eastAsia="es-AR"/>
        </w:rPr>
        <w:t>Avances en Argentina respecto de otros países en base al informe de OCDE de 2023.</w:t>
      </w:r>
    </w:p>
    <w:p w:rsidR="0010794D" w:rsidRPr="0010794D" w:rsidRDefault="0010794D" w:rsidP="0010794D">
      <w:pPr>
        <w:shd w:val="clear" w:color="auto" w:fill="FFFFFF"/>
        <w:spacing w:after="0" w:line="330" w:lineRule="atLeast"/>
        <w:ind w:left="720" w:hanging="720"/>
        <w:jc w:val="both"/>
        <w:rPr>
          <w:rFonts w:ascii="Calibri" w:eastAsia="Times New Roman" w:hAnsi="Calibri" w:cs="Calibri"/>
          <w:color w:val="26282A"/>
          <w:sz w:val="24"/>
          <w:szCs w:val="24"/>
          <w:lang w:eastAsia="es-AR"/>
        </w:rPr>
      </w:pPr>
      <w:r w:rsidRPr="0010794D">
        <w:rPr>
          <w:rFonts w:ascii="Arial" w:eastAsia="Times New Roman" w:hAnsi="Arial" w:cs="Arial"/>
          <w:i/>
          <w:iCs/>
          <w:color w:val="26282A"/>
          <w:lang w:eastAsia="es-AR"/>
        </w:rPr>
        <w:t>Comentarios a cargo del Dr. Daniel Domínguez.</w:t>
      </w:r>
    </w:p>
    <w:p w:rsidR="0010794D" w:rsidRPr="0010794D" w:rsidRDefault="0010794D" w:rsidP="0010794D">
      <w:pPr>
        <w:shd w:val="clear" w:color="auto" w:fill="FFFFFF"/>
        <w:spacing w:after="0" w:line="330" w:lineRule="atLeast"/>
        <w:ind w:left="720"/>
        <w:jc w:val="both"/>
        <w:rPr>
          <w:rFonts w:ascii="Calibri" w:eastAsia="Times New Roman" w:hAnsi="Calibri" w:cs="Calibri"/>
          <w:color w:val="26282A"/>
          <w:sz w:val="24"/>
          <w:szCs w:val="24"/>
          <w:lang w:eastAsia="es-AR"/>
        </w:rPr>
      </w:pPr>
    </w:p>
    <w:p w:rsidR="0010794D" w:rsidRPr="0010794D" w:rsidRDefault="0010794D" w:rsidP="0010794D">
      <w:pPr>
        <w:shd w:val="clear" w:color="auto" w:fill="FFFFFF"/>
        <w:spacing w:after="0" w:line="330" w:lineRule="atLeast"/>
        <w:ind w:left="720"/>
        <w:jc w:val="both"/>
        <w:rPr>
          <w:rFonts w:ascii="Calibri" w:eastAsia="Times New Roman" w:hAnsi="Calibri" w:cs="Calibri"/>
          <w:color w:val="26282A"/>
          <w:sz w:val="24"/>
          <w:szCs w:val="24"/>
          <w:lang w:eastAsia="es-AR"/>
        </w:rPr>
      </w:pPr>
      <w:r w:rsidRPr="0010794D">
        <w:rPr>
          <w:rFonts w:ascii="Arial" w:eastAsia="Times New Roman" w:hAnsi="Arial" w:cs="Arial"/>
          <w:color w:val="26282A"/>
          <w:lang w:eastAsia="es-AR"/>
        </w:rPr>
        <w:t> </w:t>
      </w:r>
    </w:p>
    <w:p w:rsidR="0010794D" w:rsidRPr="0010794D" w:rsidRDefault="0010794D" w:rsidP="0010794D">
      <w:pPr>
        <w:shd w:val="clear" w:color="auto" w:fill="FFFFFF"/>
        <w:spacing w:after="0" w:line="330" w:lineRule="atLeast"/>
        <w:jc w:val="both"/>
        <w:rPr>
          <w:rFonts w:ascii="Calibri" w:eastAsia="Times New Roman" w:hAnsi="Calibri" w:cs="Calibri"/>
          <w:color w:val="26282A"/>
          <w:sz w:val="24"/>
          <w:szCs w:val="24"/>
          <w:lang w:eastAsia="es-AR"/>
        </w:rPr>
      </w:pPr>
      <w:r w:rsidRPr="0010794D">
        <w:rPr>
          <w:rFonts w:ascii="Arial" w:eastAsia="Times New Roman" w:hAnsi="Arial" w:cs="Arial"/>
          <w:b/>
          <w:bCs/>
          <w:color w:val="26282A"/>
          <w:lang w:eastAsia="es-AR"/>
        </w:rPr>
        <w:t>7.-</w:t>
      </w:r>
      <w:r w:rsidRPr="0010794D">
        <w:rPr>
          <w:rFonts w:ascii="New serif" w:eastAsia="Times New Roman" w:hAnsi="New serif" w:cs="Calibri"/>
          <w:color w:val="26282A"/>
          <w:sz w:val="14"/>
          <w:szCs w:val="14"/>
          <w:lang w:eastAsia="es-AR"/>
        </w:rPr>
        <w:t>         </w:t>
      </w:r>
      <w:r w:rsidRPr="0010794D">
        <w:rPr>
          <w:rFonts w:ascii="Arial" w:eastAsia="Times New Roman" w:hAnsi="Arial" w:cs="Arial"/>
          <w:b/>
          <w:bCs/>
          <w:color w:val="26282A"/>
          <w:lang w:eastAsia="es-AR"/>
        </w:rPr>
        <w:t>“</w:t>
      </w:r>
      <w:proofErr w:type="spellStart"/>
      <w:r w:rsidRPr="0010794D">
        <w:rPr>
          <w:rFonts w:ascii="Arial" w:eastAsia="Times New Roman" w:hAnsi="Arial" w:cs="Arial"/>
          <w:b/>
          <w:bCs/>
          <w:color w:val="26282A"/>
          <w:lang w:eastAsia="es-AR"/>
        </w:rPr>
        <w:t>Promedon</w:t>
      </w:r>
      <w:proofErr w:type="spellEnd"/>
      <w:r w:rsidRPr="0010794D">
        <w:rPr>
          <w:rFonts w:ascii="Arial" w:eastAsia="Times New Roman" w:hAnsi="Arial" w:cs="Arial"/>
          <w:b/>
          <w:bCs/>
          <w:color w:val="26282A"/>
          <w:lang w:eastAsia="es-AR"/>
        </w:rPr>
        <w:t xml:space="preserve"> SA c/ GCBA – AGIP - DGR s/ proceso de conocimiento.” CSJN, 12 de septiembre de 2023.</w:t>
      </w:r>
    </w:p>
    <w:p w:rsidR="0010794D" w:rsidRPr="0010794D" w:rsidRDefault="0010794D" w:rsidP="0010794D">
      <w:pPr>
        <w:shd w:val="clear" w:color="auto" w:fill="FFFFFF"/>
        <w:spacing w:after="0" w:line="330" w:lineRule="atLeast"/>
        <w:jc w:val="both"/>
        <w:rPr>
          <w:rFonts w:ascii="Calibri" w:eastAsia="Times New Roman" w:hAnsi="Calibri" w:cs="Calibri"/>
          <w:color w:val="26282A"/>
          <w:sz w:val="24"/>
          <w:szCs w:val="24"/>
          <w:lang w:eastAsia="es-AR"/>
        </w:rPr>
      </w:pPr>
      <w:r w:rsidRPr="0010794D">
        <w:rPr>
          <w:rFonts w:ascii="Arial" w:eastAsia="Times New Roman" w:hAnsi="Arial" w:cs="Arial"/>
          <w:color w:val="26282A"/>
          <w:lang w:eastAsia="es-AR"/>
        </w:rPr>
        <w:t>Conflictos de competencia. Límite a la transferencia de expedientes. Principio de radicación.</w:t>
      </w:r>
    </w:p>
    <w:p w:rsidR="0010794D" w:rsidRPr="0010794D" w:rsidRDefault="0010794D" w:rsidP="0010794D">
      <w:pPr>
        <w:shd w:val="clear" w:color="auto" w:fill="FFFFFF"/>
        <w:spacing w:after="0" w:line="330" w:lineRule="atLeast"/>
        <w:ind w:left="720"/>
        <w:jc w:val="both"/>
        <w:rPr>
          <w:rFonts w:ascii="Calibri" w:eastAsia="Times New Roman" w:hAnsi="Calibri" w:cs="Calibri"/>
          <w:color w:val="26282A"/>
          <w:sz w:val="24"/>
          <w:szCs w:val="24"/>
          <w:lang w:eastAsia="es-AR"/>
        </w:rPr>
      </w:pPr>
      <w:r w:rsidRPr="0010794D">
        <w:rPr>
          <w:rFonts w:ascii="Arial" w:eastAsia="Times New Roman" w:hAnsi="Arial" w:cs="Arial"/>
          <w:i/>
          <w:iCs/>
          <w:color w:val="26282A"/>
          <w:lang w:eastAsia="es-AR"/>
        </w:rPr>
        <w:t> </w:t>
      </w:r>
      <w:r w:rsidRPr="0010794D">
        <w:rPr>
          <w:rFonts w:ascii="New serif" w:eastAsia="Times New Roman" w:hAnsi="New serif" w:cs="Calibri"/>
          <w:color w:val="26282A"/>
          <w:sz w:val="14"/>
          <w:szCs w:val="14"/>
          <w:lang w:eastAsia="es-AR"/>
        </w:rPr>
        <w:t>        </w:t>
      </w:r>
    </w:p>
    <w:p w:rsidR="0010794D" w:rsidRPr="0010794D" w:rsidRDefault="0010794D" w:rsidP="0010794D">
      <w:pPr>
        <w:shd w:val="clear" w:color="auto" w:fill="FFFFFF"/>
        <w:spacing w:after="0" w:line="360" w:lineRule="auto"/>
        <w:ind w:left="720"/>
        <w:jc w:val="both"/>
        <w:rPr>
          <w:rFonts w:ascii="Calibri" w:eastAsia="Times New Roman" w:hAnsi="Calibri" w:cs="Calibri"/>
          <w:color w:val="26282A"/>
          <w:sz w:val="24"/>
          <w:szCs w:val="24"/>
          <w:lang w:eastAsia="es-AR"/>
        </w:rPr>
      </w:pPr>
      <w:r w:rsidRPr="0010794D">
        <w:rPr>
          <w:rFonts w:ascii="Arial" w:eastAsia="Times New Roman" w:hAnsi="Arial" w:cs="Arial"/>
          <w:i/>
          <w:iCs/>
          <w:color w:val="26282A"/>
          <w:lang w:eastAsia="es-AR"/>
        </w:rPr>
        <w:t> </w:t>
      </w:r>
    </w:p>
    <w:p w:rsidR="0010794D" w:rsidRPr="0010794D" w:rsidRDefault="0010794D" w:rsidP="0010794D">
      <w:pPr>
        <w:shd w:val="clear" w:color="auto" w:fill="FFFFFF"/>
        <w:spacing w:after="0" w:line="360" w:lineRule="auto"/>
        <w:ind w:left="720" w:hanging="720"/>
        <w:jc w:val="both"/>
        <w:rPr>
          <w:rFonts w:ascii="Calibri" w:eastAsia="Times New Roman" w:hAnsi="Calibri" w:cs="Calibri"/>
          <w:color w:val="26282A"/>
          <w:sz w:val="24"/>
          <w:szCs w:val="24"/>
          <w:lang w:eastAsia="es-AR"/>
        </w:rPr>
      </w:pPr>
      <w:r w:rsidRPr="0010794D">
        <w:rPr>
          <w:rFonts w:ascii="Arial" w:eastAsia="Times New Roman" w:hAnsi="Arial" w:cs="Arial"/>
          <w:b/>
          <w:bCs/>
          <w:color w:val="26282A"/>
          <w:lang w:eastAsia="es-AR"/>
        </w:rPr>
        <w:t>8.-</w:t>
      </w:r>
      <w:r w:rsidRPr="0010794D">
        <w:rPr>
          <w:rFonts w:ascii="New serif" w:eastAsia="Times New Roman" w:hAnsi="New serif" w:cs="Calibri"/>
          <w:color w:val="26282A"/>
          <w:sz w:val="14"/>
          <w:szCs w:val="14"/>
          <w:lang w:eastAsia="es-AR"/>
        </w:rPr>
        <w:t>         </w:t>
      </w:r>
      <w:r w:rsidRPr="0010794D">
        <w:rPr>
          <w:rFonts w:ascii="Arial" w:eastAsia="Times New Roman" w:hAnsi="Arial" w:cs="Arial"/>
          <w:b/>
          <w:bCs/>
          <w:color w:val="26282A"/>
          <w:lang w:eastAsia="es-AR"/>
        </w:rPr>
        <w:t>Novedades Legislativas.</w:t>
      </w:r>
    </w:p>
    <w:p w:rsidR="0010794D" w:rsidRPr="0010794D" w:rsidRDefault="0010794D" w:rsidP="0010794D">
      <w:pPr>
        <w:shd w:val="clear" w:color="auto" w:fill="FFFFFF"/>
        <w:spacing w:after="0" w:line="360" w:lineRule="auto"/>
        <w:jc w:val="both"/>
        <w:rPr>
          <w:rFonts w:ascii="Calibri" w:eastAsia="Times New Roman" w:hAnsi="Calibri" w:cs="Calibri"/>
          <w:color w:val="26282A"/>
          <w:sz w:val="24"/>
          <w:szCs w:val="24"/>
          <w:lang w:eastAsia="es-AR"/>
        </w:rPr>
      </w:pPr>
      <w:r w:rsidRPr="0010794D">
        <w:rPr>
          <w:rFonts w:ascii="Arial" w:eastAsia="Times New Roman" w:hAnsi="Arial" w:cs="Arial"/>
          <w:color w:val="26282A"/>
          <w:lang w:eastAsia="es-AR"/>
        </w:rPr>
        <w:t>(i)</w:t>
      </w:r>
      <w:r w:rsidRPr="0010794D">
        <w:rPr>
          <w:rFonts w:ascii="New serif" w:eastAsia="Times New Roman" w:hAnsi="New serif" w:cs="Calibri"/>
          <w:color w:val="26282A"/>
          <w:sz w:val="14"/>
          <w:szCs w:val="14"/>
          <w:lang w:eastAsia="es-AR"/>
        </w:rPr>
        <w:t> </w:t>
      </w:r>
      <w:r w:rsidRPr="0010794D">
        <w:rPr>
          <w:rFonts w:ascii="Arial" w:eastAsia="Times New Roman" w:hAnsi="Arial" w:cs="Arial"/>
          <w:color w:val="26282A"/>
          <w:lang w:eastAsia="es-AR"/>
        </w:rPr>
        <w:t>Resolución General de AFIP N°5423/2023: Profesiones liberales y oficios. Se incrementa a partir de octubre de 2023 el monto no sujeto a retención del Impuesto a las Ganancias.</w:t>
      </w:r>
    </w:p>
    <w:p w:rsidR="0010794D" w:rsidRPr="0010794D" w:rsidRDefault="0010794D" w:rsidP="0010794D">
      <w:pPr>
        <w:shd w:val="clear" w:color="auto" w:fill="FFFFFF"/>
        <w:spacing w:after="0" w:line="360" w:lineRule="auto"/>
        <w:jc w:val="both"/>
        <w:rPr>
          <w:rFonts w:ascii="Calibri" w:eastAsia="Times New Roman" w:hAnsi="Calibri" w:cs="Calibri"/>
          <w:color w:val="26282A"/>
          <w:sz w:val="24"/>
          <w:szCs w:val="24"/>
          <w:lang w:eastAsia="es-AR"/>
        </w:rPr>
      </w:pPr>
      <w:r w:rsidRPr="0010794D">
        <w:rPr>
          <w:rFonts w:ascii="Arial" w:eastAsia="Times New Roman" w:hAnsi="Arial" w:cs="Arial"/>
          <w:color w:val="26282A"/>
          <w:lang w:eastAsia="es-AR"/>
        </w:rPr>
        <w:t>(ii) Resolución General de AFIP N°5424/2023: Pago a cuenta extraordinario del Impuesto a las Ganancias aplicable a las billeteras virtuales, intermediarios financieros y aseguradoras. </w:t>
      </w:r>
    </w:p>
    <w:p w:rsidR="0010794D" w:rsidRPr="0010794D" w:rsidRDefault="0010794D" w:rsidP="0010794D">
      <w:pPr>
        <w:shd w:val="clear" w:color="auto" w:fill="FFFFFF"/>
        <w:spacing w:after="0" w:line="360" w:lineRule="auto"/>
        <w:jc w:val="both"/>
        <w:rPr>
          <w:rFonts w:ascii="Calibri" w:eastAsia="Times New Roman" w:hAnsi="Calibri" w:cs="Calibri"/>
          <w:color w:val="26282A"/>
          <w:sz w:val="24"/>
          <w:szCs w:val="24"/>
          <w:lang w:eastAsia="es-AR"/>
        </w:rPr>
      </w:pPr>
      <w:bookmarkStart w:id="0" w:name="_GoBack"/>
      <w:bookmarkEnd w:id="0"/>
      <w:r w:rsidRPr="0010794D">
        <w:rPr>
          <w:rFonts w:ascii="Arial" w:eastAsia="Times New Roman" w:hAnsi="Arial" w:cs="Arial"/>
          <w:color w:val="26282A"/>
          <w:lang w:eastAsia="es-AR"/>
        </w:rPr>
        <w:t>(iii)</w:t>
      </w:r>
      <w:r w:rsidRPr="0010794D">
        <w:rPr>
          <w:rFonts w:ascii="New serif" w:eastAsia="Times New Roman" w:hAnsi="New serif" w:cs="Calibri"/>
          <w:color w:val="26282A"/>
          <w:sz w:val="14"/>
          <w:szCs w:val="14"/>
          <w:lang w:eastAsia="es-AR"/>
        </w:rPr>
        <w:t>  </w:t>
      </w:r>
      <w:r w:rsidRPr="0010794D">
        <w:rPr>
          <w:rFonts w:ascii="Arial" w:eastAsia="Times New Roman" w:hAnsi="Arial" w:cs="Arial"/>
          <w:color w:val="26282A"/>
          <w:lang w:eastAsia="es-AR"/>
        </w:rPr>
        <w:t>Resolución General de AFIP N°5425/2023: Nuevo plan de facilidades de pago para deudas vencidas al 31/08/2023.</w:t>
      </w:r>
    </w:p>
    <w:p w:rsidR="0010794D" w:rsidRPr="0010794D" w:rsidRDefault="0010794D" w:rsidP="0010794D">
      <w:pPr>
        <w:shd w:val="clear" w:color="auto" w:fill="FFFFFF"/>
        <w:spacing w:after="0" w:line="360" w:lineRule="auto"/>
        <w:jc w:val="both"/>
        <w:rPr>
          <w:rFonts w:ascii="Bookman Old Style" w:eastAsia="Times New Roman" w:hAnsi="Bookman Old Style" w:cs="Times New Roman"/>
          <w:color w:val="26282A"/>
          <w:sz w:val="24"/>
          <w:szCs w:val="24"/>
          <w:lang w:eastAsia="es-AR"/>
        </w:rPr>
      </w:pPr>
      <w:r w:rsidRPr="0010794D">
        <w:rPr>
          <w:rFonts w:ascii="Arial" w:eastAsia="Times New Roman" w:hAnsi="Arial" w:cs="Arial"/>
          <w:i/>
          <w:iCs/>
          <w:color w:val="26282A"/>
          <w:lang w:eastAsia="es-AR"/>
        </w:rPr>
        <w:t>Comentarios a cargo de la Cra. Luciana Baudino</w:t>
      </w:r>
    </w:p>
    <w:p w:rsidR="00FE6663" w:rsidRDefault="00FE6663"/>
    <w:sectPr w:rsidR="00FE666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New serif">
    <w:altName w:val="Times New Roman"/>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94D"/>
    <w:rsid w:val="0010794D"/>
    <w:rsid w:val="00FE666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4C831E-7662-49C4-8316-43BC56ADB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0520253">
      <w:bodyDiv w:val="1"/>
      <w:marLeft w:val="0"/>
      <w:marRight w:val="0"/>
      <w:marTop w:val="0"/>
      <w:marBottom w:val="0"/>
      <w:divBdr>
        <w:top w:val="none" w:sz="0" w:space="0" w:color="auto"/>
        <w:left w:val="none" w:sz="0" w:space="0" w:color="auto"/>
        <w:bottom w:val="none" w:sz="0" w:space="0" w:color="auto"/>
        <w:right w:val="none" w:sz="0" w:space="0" w:color="auto"/>
      </w:divBdr>
      <w:divsChild>
        <w:div w:id="1350718618">
          <w:marLeft w:val="0"/>
          <w:marRight w:val="0"/>
          <w:marTop w:val="0"/>
          <w:marBottom w:val="0"/>
          <w:divBdr>
            <w:top w:val="none" w:sz="0" w:space="0" w:color="auto"/>
            <w:left w:val="none" w:sz="0" w:space="0" w:color="auto"/>
            <w:bottom w:val="none" w:sz="0" w:space="0" w:color="auto"/>
            <w:right w:val="none" w:sz="0" w:space="0" w:color="auto"/>
          </w:divBdr>
        </w:div>
        <w:div w:id="724642363">
          <w:marLeft w:val="0"/>
          <w:marRight w:val="0"/>
          <w:marTop w:val="0"/>
          <w:marBottom w:val="0"/>
          <w:divBdr>
            <w:top w:val="none" w:sz="0" w:space="0" w:color="auto"/>
            <w:left w:val="none" w:sz="0" w:space="0" w:color="auto"/>
            <w:bottom w:val="none" w:sz="0" w:space="0" w:color="auto"/>
            <w:right w:val="none" w:sz="0" w:space="0" w:color="auto"/>
          </w:divBdr>
        </w:div>
        <w:div w:id="835265962">
          <w:marLeft w:val="0"/>
          <w:marRight w:val="0"/>
          <w:marTop w:val="0"/>
          <w:marBottom w:val="0"/>
          <w:divBdr>
            <w:top w:val="none" w:sz="0" w:space="0" w:color="auto"/>
            <w:left w:val="none" w:sz="0" w:space="0" w:color="auto"/>
            <w:bottom w:val="none" w:sz="0" w:space="0" w:color="auto"/>
            <w:right w:val="none" w:sz="0" w:space="0" w:color="auto"/>
          </w:divBdr>
        </w:div>
        <w:div w:id="1938708284">
          <w:marLeft w:val="0"/>
          <w:marRight w:val="0"/>
          <w:marTop w:val="0"/>
          <w:marBottom w:val="0"/>
          <w:divBdr>
            <w:top w:val="none" w:sz="0" w:space="0" w:color="auto"/>
            <w:left w:val="none" w:sz="0" w:space="0" w:color="auto"/>
            <w:bottom w:val="none" w:sz="0" w:space="0" w:color="auto"/>
            <w:right w:val="none" w:sz="0" w:space="0" w:color="auto"/>
          </w:divBdr>
        </w:div>
        <w:div w:id="1199658293">
          <w:marLeft w:val="0"/>
          <w:marRight w:val="0"/>
          <w:marTop w:val="0"/>
          <w:marBottom w:val="0"/>
          <w:divBdr>
            <w:top w:val="none" w:sz="0" w:space="0" w:color="auto"/>
            <w:left w:val="none" w:sz="0" w:space="0" w:color="auto"/>
            <w:bottom w:val="none" w:sz="0" w:space="0" w:color="auto"/>
            <w:right w:val="none" w:sz="0" w:space="0" w:color="auto"/>
          </w:divBdr>
        </w:div>
        <w:div w:id="1976327033">
          <w:marLeft w:val="0"/>
          <w:marRight w:val="0"/>
          <w:marTop w:val="0"/>
          <w:marBottom w:val="0"/>
          <w:divBdr>
            <w:top w:val="none" w:sz="0" w:space="0" w:color="auto"/>
            <w:left w:val="none" w:sz="0" w:space="0" w:color="auto"/>
            <w:bottom w:val="none" w:sz="0" w:space="0" w:color="auto"/>
            <w:right w:val="none" w:sz="0" w:space="0" w:color="auto"/>
          </w:divBdr>
        </w:div>
        <w:div w:id="1281842459">
          <w:marLeft w:val="0"/>
          <w:marRight w:val="0"/>
          <w:marTop w:val="0"/>
          <w:marBottom w:val="0"/>
          <w:divBdr>
            <w:top w:val="none" w:sz="0" w:space="0" w:color="auto"/>
            <w:left w:val="none" w:sz="0" w:space="0" w:color="auto"/>
            <w:bottom w:val="none" w:sz="0" w:space="0" w:color="auto"/>
            <w:right w:val="none" w:sz="0" w:space="0" w:color="auto"/>
          </w:divBdr>
        </w:div>
        <w:div w:id="2088457709">
          <w:marLeft w:val="0"/>
          <w:marRight w:val="0"/>
          <w:marTop w:val="0"/>
          <w:marBottom w:val="0"/>
          <w:divBdr>
            <w:top w:val="none" w:sz="0" w:space="0" w:color="auto"/>
            <w:left w:val="none" w:sz="0" w:space="0" w:color="auto"/>
            <w:bottom w:val="none" w:sz="0" w:space="0" w:color="auto"/>
            <w:right w:val="none" w:sz="0" w:space="0" w:color="auto"/>
          </w:divBdr>
        </w:div>
        <w:div w:id="1177185369">
          <w:marLeft w:val="0"/>
          <w:marRight w:val="0"/>
          <w:marTop w:val="0"/>
          <w:marBottom w:val="0"/>
          <w:divBdr>
            <w:top w:val="none" w:sz="0" w:space="0" w:color="auto"/>
            <w:left w:val="none" w:sz="0" w:space="0" w:color="auto"/>
            <w:bottom w:val="none" w:sz="0" w:space="0" w:color="auto"/>
            <w:right w:val="none" w:sz="0" w:space="0" w:color="auto"/>
          </w:divBdr>
          <w:divsChild>
            <w:div w:id="433481161">
              <w:marLeft w:val="0"/>
              <w:marRight w:val="0"/>
              <w:marTop w:val="0"/>
              <w:marBottom w:val="0"/>
              <w:divBdr>
                <w:top w:val="none" w:sz="0" w:space="0" w:color="auto"/>
                <w:left w:val="none" w:sz="0" w:space="0" w:color="auto"/>
                <w:bottom w:val="none" w:sz="0" w:space="0" w:color="auto"/>
                <w:right w:val="none" w:sz="0" w:space="0" w:color="auto"/>
              </w:divBdr>
              <w:divsChild>
                <w:div w:id="185218350">
                  <w:marLeft w:val="0"/>
                  <w:marRight w:val="0"/>
                  <w:marTop w:val="0"/>
                  <w:marBottom w:val="0"/>
                  <w:divBdr>
                    <w:top w:val="none" w:sz="0" w:space="0" w:color="auto"/>
                    <w:left w:val="none" w:sz="0" w:space="0" w:color="auto"/>
                    <w:bottom w:val="none" w:sz="0" w:space="0" w:color="auto"/>
                    <w:right w:val="none" w:sz="0" w:space="0" w:color="auto"/>
                  </w:divBdr>
                </w:div>
                <w:div w:id="1280070096">
                  <w:marLeft w:val="0"/>
                  <w:marRight w:val="0"/>
                  <w:marTop w:val="0"/>
                  <w:marBottom w:val="0"/>
                  <w:divBdr>
                    <w:top w:val="none" w:sz="0" w:space="0" w:color="auto"/>
                    <w:left w:val="none" w:sz="0" w:space="0" w:color="auto"/>
                    <w:bottom w:val="none" w:sz="0" w:space="0" w:color="auto"/>
                    <w:right w:val="none" w:sz="0" w:space="0" w:color="auto"/>
                  </w:divBdr>
                </w:div>
                <w:div w:id="877083396">
                  <w:marLeft w:val="0"/>
                  <w:marRight w:val="0"/>
                  <w:marTop w:val="0"/>
                  <w:marBottom w:val="0"/>
                  <w:divBdr>
                    <w:top w:val="none" w:sz="0" w:space="0" w:color="auto"/>
                    <w:left w:val="none" w:sz="0" w:space="0" w:color="auto"/>
                    <w:bottom w:val="none" w:sz="0" w:space="0" w:color="auto"/>
                    <w:right w:val="none" w:sz="0" w:space="0" w:color="auto"/>
                  </w:divBdr>
                </w:div>
                <w:div w:id="752895548">
                  <w:marLeft w:val="0"/>
                  <w:marRight w:val="0"/>
                  <w:marTop w:val="0"/>
                  <w:marBottom w:val="0"/>
                  <w:divBdr>
                    <w:top w:val="none" w:sz="0" w:space="0" w:color="auto"/>
                    <w:left w:val="none" w:sz="0" w:space="0" w:color="auto"/>
                    <w:bottom w:val="none" w:sz="0" w:space="0" w:color="auto"/>
                    <w:right w:val="none" w:sz="0" w:space="0" w:color="auto"/>
                  </w:divBdr>
                  <w:divsChild>
                    <w:div w:id="342173316">
                      <w:marLeft w:val="0"/>
                      <w:marRight w:val="0"/>
                      <w:marTop w:val="0"/>
                      <w:marBottom w:val="0"/>
                      <w:divBdr>
                        <w:top w:val="none" w:sz="0" w:space="0" w:color="auto"/>
                        <w:left w:val="none" w:sz="0" w:space="0" w:color="auto"/>
                        <w:bottom w:val="none" w:sz="0" w:space="0" w:color="auto"/>
                        <w:right w:val="none" w:sz="0" w:space="0" w:color="auto"/>
                      </w:divBdr>
                    </w:div>
                    <w:div w:id="409162309">
                      <w:marLeft w:val="0"/>
                      <w:marRight w:val="0"/>
                      <w:marTop w:val="0"/>
                      <w:marBottom w:val="0"/>
                      <w:divBdr>
                        <w:top w:val="none" w:sz="0" w:space="0" w:color="auto"/>
                        <w:left w:val="none" w:sz="0" w:space="0" w:color="auto"/>
                        <w:bottom w:val="none" w:sz="0" w:space="0" w:color="auto"/>
                        <w:right w:val="none" w:sz="0" w:space="0" w:color="auto"/>
                      </w:divBdr>
                    </w:div>
                    <w:div w:id="995261343">
                      <w:marLeft w:val="0"/>
                      <w:marRight w:val="0"/>
                      <w:marTop w:val="0"/>
                      <w:marBottom w:val="0"/>
                      <w:divBdr>
                        <w:top w:val="none" w:sz="0" w:space="0" w:color="auto"/>
                        <w:left w:val="none" w:sz="0" w:space="0" w:color="auto"/>
                        <w:bottom w:val="none" w:sz="0" w:space="0" w:color="auto"/>
                        <w:right w:val="none" w:sz="0" w:space="0" w:color="auto"/>
                      </w:divBdr>
                    </w:div>
                    <w:div w:id="1183588292">
                      <w:marLeft w:val="0"/>
                      <w:marRight w:val="0"/>
                      <w:marTop w:val="0"/>
                      <w:marBottom w:val="0"/>
                      <w:divBdr>
                        <w:top w:val="none" w:sz="0" w:space="0" w:color="auto"/>
                        <w:left w:val="none" w:sz="0" w:space="0" w:color="auto"/>
                        <w:bottom w:val="none" w:sz="0" w:space="0" w:color="auto"/>
                        <w:right w:val="none" w:sz="0" w:space="0" w:color="auto"/>
                      </w:divBdr>
                      <w:divsChild>
                        <w:div w:id="935215197">
                          <w:marLeft w:val="0"/>
                          <w:marRight w:val="0"/>
                          <w:marTop w:val="0"/>
                          <w:marBottom w:val="0"/>
                          <w:divBdr>
                            <w:top w:val="none" w:sz="0" w:space="0" w:color="auto"/>
                            <w:left w:val="none" w:sz="0" w:space="0" w:color="auto"/>
                            <w:bottom w:val="none" w:sz="0" w:space="0" w:color="auto"/>
                            <w:right w:val="none" w:sz="0" w:space="0" w:color="auto"/>
                          </w:divBdr>
                        </w:div>
                        <w:div w:id="10873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987286">
              <w:marLeft w:val="0"/>
              <w:marRight w:val="0"/>
              <w:marTop w:val="0"/>
              <w:marBottom w:val="0"/>
              <w:divBdr>
                <w:top w:val="none" w:sz="0" w:space="0" w:color="auto"/>
                <w:left w:val="none" w:sz="0" w:space="0" w:color="auto"/>
                <w:bottom w:val="none" w:sz="0" w:space="0" w:color="auto"/>
                <w:right w:val="none" w:sz="0" w:space="0" w:color="auto"/>
              </w:divBdr>
            </w:div>
            <w:div w:id="1994797582">
              <w:marLeft w:val="0"/>
              <w:marRight w:val="0"/>
              <w:marTop w:val="0"/>
              <w:marBottom w:val="0"/>
              <w:divBdr>
                <w:top w:val="none" w:sz="0" w:space="0" w:color="auto"/>
                <w:left w:val="none" w:sz="0" w:space="0" w:color="auto"/>
                <w:bottom w:val="none" w:sz="0" w:space="0" w:color="auto"/>
                <w:right w:val="none" w:sz="0" w:space="0" w:color="auto"/>
              </w:divBdr>
            </w:div>
            <w:div w:id="1809086084">
              <w:marLeft w:val="0"/>
              <w:marRight w:val="0"/>
              <w:marTop w:val="0"/>
              <w:marBottom w:val="0"/>
              <w:divBdr>
                <w:top w:val="none" w:sz="0" w:space="0" w:color="auto"/>
                <w:left w:val="none" w:sz="0" w:space="0" w:color="auto"/>
                <w:bottom w:val="none" w:sz="0" w:space="0" w:color="auto"/>
                <w:right w:val="none" w:sz="0" w:space="0" w:color="auto"/>
              </w:divBdr>
            </w:div>
            <w:div w:id="1778675865">
              <w:marLeft w:val="0"/>
              <w:marRight w:val="0"/>
              <w:marTop w:val="0"/>
              <w:marBottom w:val="0"/>
              <w:divBdr>
                <w:top w:val="none" w:sz="0" w:space="0" w:color="auto"/>
                <w:left w:val="none" w:sz="0" w:space="0" w:color="auto"/>
                <w:bottom w:val="none" w:sz="0" w:space="0" w:color="auto"/>
                <w:right w:val="none" w:sz="0" w:space="0" w:color="auto"/>
              </w:divBdr>
              <w:divsChild>
                <w:div w:id="1415275331">
                  <w:marLeft w:val="0"/>
                  <w:marRight w:val="0"/>
                  <w:marTop w:val="0"/>
                  <w:marBottom w:val="0"/>
                  <w:divBdr>
                    <w:top w:val="none" w:sz="0" w:space="0" w:color="auto"/>
                    <w:left w:val="none" w:sz="0" w:space="0" w:color="auto"/>
                    <w:bottom w:val="none" w:sz="0" w:space="0" w:color="auto"/>
                    <w:right w:val="none" w:sz="0" w:space="0" w:color="auto"/>
                  </w:divBdr>
                </w:div>
                <w:div w:id="502553556">
                  <w:marLeft w:val="0"/>
                  <w:marRight w:val="0"/>
                  <w:marTop w:val="0"/>
                  <w:marBottom w:val="0"/>
                  <w:divBdr>
                    <w:top w:val="none" w:sz="0" w:space="0" w:color="auto"/>
                    <w:left w:val="none" w:sz="0" w:space="0" w:color="auto"/>
                    <w:bottom w:val="none" w:sz="0" w:space="0" w:color="auto"/>
                    <w:right w:val="none" w:sz="0" w:space="0" w:color="auto"/>
                  </w:divBdr>
                </w:div>
                <w:div w:id="191412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472</Words>
  <Characters>2602</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Usuario de Windows</cp:lastModifiedBy>
  <cp:revision>1</cp:revision>
  <dcterms:created xsi:type="dcterms:W3CDTF">2023-10-05T14:03:00Z</dcterms:created>
  <dcterms:modified xsi:type="dcterms:W3CDTF">2023-10-05T14:11:00Z</dcterms:modified>
</cp:coreProperties>
</file>